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23CF" w14:textId="249B7815" w:rsidR="00FD43FE" w:rsidRPr="00FD43FE" w:rsidRDefault="00FD43FE" w:rsidP="00FD43FE">
      <w:pPr>
        <w:spacing w:before="100" w:beforeAutospacing="1" w:after="100" w:afterAutospacing="1" w:line="240" w:lineRule="auto"/>
        <w:jc w:val="center"/>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b/>
          <w:bCs/>
          <w:color w:val="1D2228"/>
          <w:spacing w:val="-5"/>
          <w:kern w:val="0"/>
          <w:sz w:val="32"/>
          <w:szCs w:val="32"/>
          <w14:ligatures w14:val="none"/>
        </w:rPr>
        <w:t>Informational Update Vol 16 #9</w:t>
      </w:r>
    </w:p>
    <w:p w14:paraId="25B6852E" w14:textId="77777777" w:rsidR="00FD43FE" w:rsidRPr="00FD43FE" w:rsidRDefault="00FD43FE" w:rsidP="00FD43FE">
      <w:pPr>
        <w:spacing w:before="100" w:beforeAutospacing="1" w:after="100" w:afterAutospacing="1"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b/>
          <w:bCs/>
          <w:color w:val="1D2228"/>
          <w:spacing w:val="-5"/>
          <w:kern w:val="0"/>
          <w:sz w:val="28"/>
          <w:szCs w:val="28"/>
          <w14:ligatures w14:val="none"/>
        </w:rPr>
        <w:t>1.</w:t>
      </w:r>
      <w:r w:rsidRPr="00FD43FE">
        <w:rPr>
          <w:rFonts w:ascii="Palatino" w:eastAsia="Times New Roman" w:hAnsi="Palatino" w:cs="Times New Roman"/>
          <w:b/>
          <w:bCs/>
          <w:color w:val="1D2228"/>
          <w:spacing w:val="-5"/>
          <w:kern w:val="0"/>
          <w:sz w:val="28"/>
          <w:szCs w:val="28"/>
          <w:u w:val="single"/>
          <w14:ligatures w14:val="none"/>
        </w:rPr>
        <w:t> Acupuncture </w:t>
      </w:r>
      <w:r w:rsidRPr="00FD43FE">
        <w:rPr>
          <w:rFonts w:ascii="Palatino" w:eastAsia="Times New Roman" w:hAnsi="Palatino" w:cs="Times New Roman"/>
          <w:color w:val="1D2228"/>
          <w:spacing w:val="-5"/>
          <w:kern w:val="0"/>
          <w:sz w:val="32"/>
          <w:szCs w:val="32"/>
          <w14:ligatures w14:val="none"/>
        </w:rPr>
        <w:t>– </w:t>
      </w:r>
      <w:r w:rsidRPr="00FD43FE">
        <w:rPr>
          <w:rFonts w:ascii="Palatino" w:eastAsia="Times New Roman" w:hAnsi="Palatino" w:cs="Times New Roman"/>
          <w:color w:val="1D2228"/>
          <w:spacing w:val="-5"/>
          <w:kern w:val="0"/>
          <w:sz w:val="28"/>
          <w:szCs w:val="28"/>
          <w14:ligatures w14:val="none"/>
        </w:rPr>
        <w:t>On January 1, 2017, the CSA Welfare Fund first covered acupuncture (only 18 visits) through its supplemental medical benefits. In 2019, the coverage was expanded to 36 per year. Medicare offered no coverage for this service until 2021 when it covered 12 visits in a 90-day period for chronic lower back pain</w:t>
      </w:r>
    </w:p>
    <w:p w14:paraId="7688AB53" w14:textId="7B5A7FA3" w:rsidR="00FD43FE" w:rsidRPr="00FD43FE" w:rsidRDefault="00FD43FE" w:rsidP="00FD43FE">
      <w:pPr>
        <w:spacing w:after="0"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D2228"/>
          <w:spacing w:val="-5"/>
          <w:kern w:val="0"/>
          <w:sz w:val="28"/>
          <w:szCs w:val="28"/>
          <w14:ligatures w14:val="none"/>
        </w:rPr>
        <w:t> Medicare will cover the 12 visits in a 90-day period for chronic lower back pain providing:</w:t>
      </w:r>
    </w:p>
    <w:p w14:paraId="74217C2C" w14:textId="77777777" w:rsidR="00FD43FE" w:rsidRPr="00FD43FE" w:rsidRDefault="00FD43FE" w:rsidP="00FD43FE">
      <w:pPr>
        <w:spacing w:before="100" w:beforeAutospacing="1" w:after="100" w:afterAutospacing="1" w:line="240" w:lineRule="auto"/>
        <w:ind w:left="1155"/>
        <w:rPr>
          <w:rFonts w:ascii="Palatino" w:eastAsia="Times New Roman" w:hAnsi="Palatino" w:cs="Times New Roman"/>
          <w:color w:val="1D2228"/>
          <w:spacing w:val="-5"/>
          <w:kern w:val="0"/>
          <w:sz w:val="28"/>
          <w:szCs w:val="28"/>
          <w14:ligatures w14:val="none"/>
        </w:rPr>
      </w:pPr>
      <w:r w:rsidRPr="00FD43FE">
        <w:rPr>
          <w:rFonts w:ascii="Symbol" w:eastAsia="Times New Roman" w:hAnsi="Symbol" w:cs="Times New Roman"/>
          <w:color w:val="111111"/>
          <w:spacing w:val="-5"/>
          <w:kern w:val="0"/>
          <w:sz w:val="27"/>
          <w:szCs w:val="27"/>
          <w14:ligatures w14:val="none"/>
        </w:rPr>
        <w:t>·</w:t>
      </w:r>
      <w:r w:rsidRPr="00FD43FE">
        <w:rPr>
          <w:rFonts w:ascii="Times New Roman" w:eastAsia="Times New Roman" w:hAnsi="Times New Roman" w:cs="Times New Roman"/>
          <w:color w:val="111111"/>
          <w:spacing w:val="-5"/>
          <w:kern w:val="0"/>
          <w:sz w:val="14"/>
          <w:szCs w:val="14"/>
          <w14:ligatures w14:val="none"/>
        </w:rPr>
        <w:t>       </w:t>
      </w:r>
      <w:r w:rsidRPr="00FD43FE">
        <w:rPr>
          <w:rFonts w:ascii="Palatino" w:eastAsia="Times New Roman" w:hAnsi="Palatino" w:cs="Times New Roman"/>
          <w:color w:val="111111"/>
          <w:spacing w:val="-5"/>
          <w:kern w:val="0"/>
          <w:sz w:val="27"/>
          <w:szCs w:val="27"/>
          <w:shd w:val="clear" w:color="auto" w:fill="FFFFFF"/>
          <w14:ligatures w14:val="none"/>
        </w:rPr>
        <w:t>The pain lasts 12 weeks or longer</w:t>
      </w:r>
    </w:p>
    <w:p w14:paraId="43A588EA" w14:textId="77777777" w:rsidR="00FD43FE" w:rsidRPr="00FD43FE" w:rsidRDefault="00FD43FE" w:rsidP="00FD43FE">
      <w:pPr>
        <w:spacing w:before="100" w:beforeAutospacing="1" w:after="100" w:afterAutospacing="1" w:line="240" w:lineRule="auto"/>
        <w:ind w:left="1155"/>
        <w:rPr>
          <w:rFonts w:ascii="Palatino" w:eastAsia="Times New Roman" w:hAnsi="Palatino" w:cs="Times New Roman"/>
          <w:color w:val="1D2228"/>
          <w:spacing w:val="-5"/>
          <w:kern w:val="0"/>
          <w:sz w:val="28"/>
          <w:szCs w:val="28"/>
          <w14:ligatures w14:val="none"/>
        </w:rPr>
      </w:pPr>
      <w:r w:rsidRPr="00FD43FE">
        <w:rPr>
          <w:rFonts w:ascii="Symbol" w:eastAsia="Times New Roman" w:hAnsi="Symbol" w:cs="Times New Roman"/>
          <w:color w:val="111111"/>
          <w:spacing w:val="-5"/>
          <w:kern w:val="0"/>
          <w:sz w:val="27"/>
          <w:szCs w:val="27"/>
          <w14:ligatures w14:val="none"/>
        </w:rPr>
        <w:t>·</w:t>
      </w:r>
      <w:r w:rsidRPr="00FD43FE">
        <w:rPr>
          <w:rFonts w:ascii="Times New Roman" w:eastAsia="Times New Roman" w:hAnsi="Times New Roman" w:cs="Times New Roman"/>
          <w:color w:val="111111"/>
          <w:spacing w:val="-5"/>
          <w:kern w:val="0"/>
          <w:sz w:val="14"/>
          <w:szCs w:val="14"/>
          <w14:ligatures w14:val="none"/>
        </w:rPr>
        <w:t>       </w:t>
      </w:r>
      <w:r w:rsidRPr="00FD43FE">
        <w:rPr>
          <w:rFonts w:ascii="Palatino" w:eastAsia="Times New Roman" w:hAnsi="Palatino" w:cs="Times New Roman"/>
          <w:color w:val="111111"/>
          <w:spacing w:val="-5"/>
          <w:kern w:val="0"/>
          <w:sz w:val="27"/>
          <w:szCs w:val="27"/>
          <w:shd w:val="clear" w:color="auto" w:fill="FFFFFF"/>
          <w14:ligatures w14:val="none"/>
        </w:rPr>
        <w:t>The pain is not related to spreading cancer, inflammatory or infectious disease</w:t>
      </w:r>
    </w:p>
    <w:p w14:paraId="40824642" w14:textId="77777777" w:rsidR="00FD43FE" w:rsidRPr="00FD43FE" w:rsidRDefault="00FD43FE" w:rsidP="00FD43FE">
      <w:pPr>
        <w:spacing w:before="100" w:beforeAutospacing="1" w:after="100" w:afterAutospacing="1" w:line="240" w:lineRule="auto"/>
        <w:ind w:left="1155"/>
        <w:rPr>
          <w:rFonts w:ascii="Palatino" w:eastAsia="Times New Roman" w:hAnsi="Palatino" w:cs="Times New Roman"/>
          <w:color w:val="1D2228"/>
          <w:spacing w:val="-5"/>
          <w:kern w:val="0"/>
          <w:sz w:val="28"/>
          <w:szCs w:val="28"/>
          <w14:ligatures w14:val="none"/>
        </w:rPr>
      </w:pPr>
      <w:r w:rsidRPr="00FD43FE">
        <w:rPr>
          <w:rFonts w:ascii="Symbol" w:eastAsia="Times New Roman" w:hAnsi="Symbol" w:cs="Times New Roman"/>
          <w:color w:val="111111"/>
          <w:spacing w:val="-5"/>
          <w:kern w:val="0"/>
          <w:sz w:val="27"/>
          <w:szCs w:val="27"/>
          <w14:ligatures w14:val="none"/>
        </w:rPr>
        <w:t>·</w:t>
      </w:r>
      <w:r w:rsidRPr="00FD43FE">
        <w:rPr>
          <w:rFonts w:ascii="Times New Roman" w:eastAsia="Times New Roman" w:hAnsi="Times New Roman" w:cs="Times New Roman"/>
          <w:color w:val="111111"/>
          <w:spacing w:val="-5"/>
          <w:kern w:val="0"/>
          <w:sz w:val="14"/>
          <w:szCs w:val="14"/>
          <w14:ligatures w14:val="none"/>
        </w:rPr>
        <w:t>       </w:t>
      </w:r>
      <w:r w:rsidRPr="00FD43FE">
        <w:rPr>
          <w:rFonts w:ascii="Palatino" w:eastAsia="Times New Roman" w:hAnsi="Palatino" w:cs="Times New Roman"/>
          <w:color w:val="111111"/>
          <w:spacing w:val="-5"/>
          <w:kern w:val="0"/>
          <w:sz w:val="27"/>
          <w:szCs w:val="27"/>
          <w:shd w:val="clear" w:color="auto" w:fill="FFFFFF"/>
          <w14:ligatures w14:val="none"/>
        </w:rPr>
        <w:t>The pain is not associated with pregnancy or surgery.</w:t>
      </w:r>
    </w:p>
    <w:p w14:paraId="60CE363B" w14:textId="77777777" w:rsidR="00FD43FE" w:rsidRPr="00FD43FE" w:rsidRDefault="00FD43FE" w:rsidP="00FD43FE">
      <w:pPr>
        <w:spacing w:before="100" w:beforeAutospacing="1" w:after="100" w:afterAutospacing="1"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11111"/>
          <w:spacing w:val="-5"/>
          <w:kern w:val="0"/>
          <w:sz w:val="27"/>
          <w:szCs w:val="27"/>
          <w:shd w:val="clear" w:color="auto" w:fill="FFFFFF"/>
          <w14:ligatures w14:val="none"/>
        </w:rPr>
        <w:t>Medicare also covers an extra 8 sessions if your doctor indicates that your chronic back pain shows improvement. If the doctor indicates there is no improvement or your condition is getting worse, then Medicare will not cover the additional sessions. </w:t>
      </w:r>
    </w:p>
    <w:p w14:paraId="6203509F" w14:textId="77777777" w:rsidR="00FD43FE" w:rsidRPr="00FD43FE" w:rsidRDefault="00FD43FE" w:rsidP="00FD43FE">
      <w:pPr>
        <w:spacing w:before="100" w:beforeAutospacing="1" w:after="100" w:afterAutospacing="1"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11111"/>
          <w:spacing w:val="-5"/>
          <w:kern w:val="0"/>
          <w:sz w:val="27"/>
          <w:szCs w:val="27"/>
          <w:shd w:val="clear" w:color="auto" w:fill="FFFFFF"/>
          <w14:ligatures w14:val="none"/>
        </w:rPr>
        <w:t>Medicare covers no more than 20 treatments yearly. These treatments may only be used for chronic lower back pain.</w:t>
      </w:r>
    </w:p>
    <w:p w14:paraId="0021EADF" w14:textId="404EA1D9" w:rsidR="00FD43FE" w:rsidRPr="00FD43FE" w:rsidRDefault="00FD43FE" w:rsidP="00FD43FE">
      <w:pPr>
        <w:spacing w:after="0"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D2228"/>
          <w:spacing w:val="-5"/>
          <w:kern w:val="0"/>
          <w:sz w:val="28"/>
          <w:szCs w:val="28"/>
          <w14:ligatures w14:val="none"/>
        </w:rPr>
        <w:t>Once you have used your allotted 20 treatments (12 + 8), or if you are not eligible for Medicare reimbursement—either because you do not meet its requirements or are not Medicare-eligible—you may turn to the CSA Retiree Welfare Fund and the CSA Retiree Chapter for additional coverage.</w:t>
      </w:r>
    </w:p>
    <w:p w14:paraId="303C1B9E" w14:textId="77777777" w:rsidR="00FD43FE" w:rsidRPr="00FD43FE" w:rsidRDefault="00FD43FE" w:rsidP="00FD43FE">
      <w:pPr>
        <w:spacing w:before="100" w:beforeAutospacing="1" w:after="100" w:afterAutospacing="1" w:line="240" w:lineRule="auto"/>
        <w:ind w:left="990"/>
        <w:rPr>
          <w:rFonts w:ascii="Palatino" w:eastAsia="Times New Roman" w:hAnsi="Palatino" w:cs="Times New Roman"/>
          <w:color w:val="1D2228"/>
          <w:spacing w:val="-5"/>
          <w:kern w:val="0"/>
          <w:sz w:val="28"/>
          <w:szCs w:val="28"/>
          <w14:ligatures w14:val="none"/>
        </w:rPr>
      </w:pPr>
      <w:r w:rsidRPr="00FD43FE">
        <w:rPr>
          <w:rFonts w:ascii="Wingdings" w:eastAsia="Times New Roman" w:hAnsi="Wingdings" w:cs="Times New Roman"/>
          <w:color w:val="111111"/>
          <w:spacing w:val="-5"/>
          <w:kern w:val="0"/>
          <w:sz w:val="27"/>
          <w:szCs w:val="27"/>
          <w14:ligatures w14:val="none"/>
        </w:rPr>
        <w:t>v</w:t>
      </w:r>
      <w:r w:rsidRPr="00FD43FE">
        <w:rPr>
          <w:rFonts w:ascii="Times New Roman" w:eastAsia="Times New Roman" w:hAnsi="Times New Roman" w:cs="Times New Roman"/>
          <w:color w:val="111111"/>
          <w:spacing w:val="-5"/>
          <w:kern w:val="0"/>
          <w:sz w:val="14"/>
          <w:szCs w:val="14"/>
          <w14:ligatures w14:val="none"/>
        </w:rPr>
        <w:t> </w:t>
      </w:r>
      <w:r w:rsidRPr="00FD43FE">
        <w:rPr>
          <w:rFonts w:ascii="Palatino" w:eastAsia="Times New Roman" w:hAnsi="Palatino" w:cs="Times New Roman"/>
          <w:b/>
          <w:bCs/>
          <w:color w:val="111111"/>
          <w:spacing w:val="-5"/>
          <w:kern w:val="0"/>
          <w:sz w:val="27"/>
          <w:szCs w:val="27"/>
          <w:shd w:val="clear" w:color="auto" w:fill="FFFFFF"/>
          <w14:ligatures w14:val="none"/>
        </w:rPr>
        <w:t>CSA Retiree Welfare Fund </w:t>
      </w:r>
      <w:r w:rsidRPr="00FD43FE">
        <w:rPr>
          <w:rFonts w:ascii="Palatino" w:eastAsia="Times New Roman" w:hAnsi="Palatino" w:cs="Times New Roman"/>
          <w:color w:val="111111"/>
          <w:spacing w:val="-5"/>
          <w:kern w:val="0"/>
          <w:sz w:val="27"/>
          <w:szCs w:val="27"/>
          <w:shd w:val="clear" w:color="auto" w:fill="FFFFFF"/>
          <w14:ligatures w14:val="none"/>
        </w:rPr>
        <w:t>– You are allowed a maximum of 36 visits a year. The maximum allowable charge for reimbursement is $100 per visit, although the acupuncturist may charge more than the $100. After an annual $100 deductible you will be reimbursed 80% of the cost. </w:t>
      </w:r>
    </w:p>
    <w:p w14:paraId="0CFC557E" w14:textId="77777777" w:rsidR="00FD43FE" w:rsidRPr="00FD43FE" w:rsidRDefault="00FD43FE" w:rsidP="00FD43FE">
      <w:pPr>
        <w:spacing w:before="100" w:beforeAutospacing="1" w:after="100" w:afterAutospacing="1" w:line="240" w:lineRule="auto"/>
        <w:ind w:left="99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11111"/>
          <w:spacing w:val="-5"/>
          <w:kern w:val="0"/>
          <w:sz w:val="27"/>
          <w:szCs w:val="27"/>
          <w:shd w:val="clear" w:color="auto" w:fill="FFFFFF"/>
          <w14:ligatures w14:val="none"/>
        </w:rPr>
        <w:t>The provider must be legally certified to practice acupuncture under the provider’s state license. If the provider is not state licensed or lives in a state that does not have a state license, then he or she must have a certificate from the National Certification Commission for Acupuncture and Oriental Medicine (NCCAOM).</w:t>
      </w:r>
    </w:p>
    <w:p w14:paraId="47688383" w14:textId="77777777" w:rsidR="00FD43FE" w:rsidRPr="00FD43FE" w:rsidRDefault="00FD43FE" w:rsidP="00FD43FE">
      <w:pPr>
        <w:spacing w:before="100" w:beforeAutospacing="1" w:after="100" w:afterAutospacing="1" w:line="240" w:lineRule="auto"/>
        <w:ind w:left="99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11111"/>
          <w:spacing w:val="-5"/>
          <w:kern w:val="0"/>
          <w:sz w:val="27"/>
          <w:szCs w:val="27"/>
          <w:shd w:val="clear" w:color="auto" w:fill="FFFFFF"/>
          <w14:ligatures w14:val="none"/>
        </w:rPr>
        <w:lastRenderedPageBreak/>
        <w:t>To file a claim, submit the bill, proof of payment, and on the first claim, the provider’s state license or certification.</w:t>
      </w:r>
    </w:p>
    <w:p w14:paraId="0F8A1009" w14:textId="77777777" w:rsidR="00FD43FE" w:rsidRPr="00FD43FE" w:rsidRDefault="00FD43FE" w:rsidP="00FD43FE">
      <w:pPr>
        <w:spacing w:before="100" w:beforeAutospacing="1" w:after="100" w:afterAutospacing="1" w:line="240" w:lineRule="auto"/>
        <w:ind w:left="990"/>
        <w:rPr>
          <w:rFonts w:ascii="Palatino" w:eastAsia="Times New Roman" w:hAnsi="Palatino" w:cs="Times New Roman"/>
          <w:color w:val="1D2228"/>
          <w:spacing w:val="-5"/>
          <w:kern w:val="0"/>
          <w:sz w:val="28"/>
          <w:szCs w:val="28"/>
          <w14:ligatures w14:val="none"/>
        </w:rPr>
      </w:pPr>
      <w:r w:rsidRPr="00FD43FE">
        <w:rPr>
          <w:rFonts w:ascii="Wingdings" w:eastAsia="Times New Roman" w:hAnsi="Wingdings" w:cs="Times New Roman"/>
          <w:color w:val="111111"/>
          <w:spacing w:val="-5"/>
          <w:kern w:val="0"/>
          <w:sz w:val="27"/>
          <w:szCs w:val="27"/>
          <w14:ligatures w14:val="none"/>
        </w:rPr>
        <w:t>v</w:t>
      </w:r>
      <w:r w:rsidRPr="00FD43FE">
        <w:rPr>
          <w:rFonts w:ascii="Times New Roman" w:eastAsia="Times New Roman" w:hAnsi="Times New Roman" w:cs="Times New Roman"/>
          <w:color w:val="111111"/>
          <w:spacing w:val="-5"/>
          <w:kern w:val="0"/>
          <w:sz w:val="14"/>
          <w:szCs w:val="14"/>
          <w14:ligatures w14:val="none"/>
        </w:rPr>
        <w:t> </w:t>
      </w:r>
      <w:r w:rsidRPr="00FD43FE">
        <w:rPr>
          <w:rFonts w:ascii="Palatino" w:eastAsia="Times New Roman" w:hAnsi="Palatino" w:cs="Times New Roman"/>
          <w:b/>
          <w:bCs/>
          <w:color w:val="111111"/>
          <w:spacing w:val="-5"/>
          <w:kern w:val="0"/>
          <w:sz w:val="27"/>
          <w:szCs w:val="27"/>
          <w:shd w:val="clear" w:color="auto" w:fill="FFFFFF"/>
          <w14:ligatures w14:val="none"/>
        </w:rPr>
        <w:t>CSA Retiree Chapter – </w:t>
      </w:r>
      <w:r w:rsidRPr="00FD43FE">
        <w:rPr>
          <w:rFonts w:ascii="Palatino" w:eastAsia="Times New Roman" w:hAnsi="Palatino" w:cs="Times New Roman"/>
          <w:color w:val="111111"/>
          <w:spacing w:val="-5"/>
          <w:kern w:val="0"/>
          <w:sz w:val="27"/>
          <w:szCs w:val="27"/>
          <w:shd w:val="clear" w:color="auto" w:fill="FFFFFF"/>
          <w14:ligatures w14:val="none"/>
        </w:rPr>
        <w:t>You will get an additional 20% </w:t>
      </w:r>
    </w:p>
    <w:p w14:paraId="3E95DBC6" w14:textId="77777777" w:rsidR="00FD43FE" w:rsidRPr="00FD43FE" w:rsidRDefault="00FD43FE" w:rsidP="00FD43FE">
      <w:pPr>
        <w:spacing w:before="100" w:beforeAutospacing="1" w:after="100" w:afterAutospacing="1" w:line="240" w:lineRule="auto"/>
        <w:ind w:left="99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11111"/>
          <w:spacing w:val="-5"/>
          <w:kern w:val="0"/>
          <w:sz w:val="27"/>
          <w:szCs w:val="27"/>
          <w:shd w:val="clear" w:color="auto" w:fill="FFFFFF"/>
          <w14:ligatures w14:val="none"/>
        </w:rPr>
        <w:t>reimbursement of whatever the Fund reimburses you. You do not have to apply for it as the process is a seamless operation. The reimbursement should come about 2 weeks after the Fund reimbursement. </w:t>
      </w:r>
    </w:p>
    <w:p w14:paraId="71658142" w14:textId="660C2EC2" w:rsidR="00FD43FE" w:rsidRPr="00FD43FE" w:rsidRDefault="00FD43FE" w:rsidP="00FD43FE">
      <w:pPr>
        <w:shd w:val="clear" w:color="auto" w:fill="FFFFFF"/>
        <w:spacing w:before="100" w:beforeAutospacing="1" w:after="100" w:afterAutospacing="1" w:line="240" w:lineRule="auto"/>
        <w:ind w:left="27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b/>
          <w:bCs/>
          <w:color w:val="1D2228"/>
          <w:spacing w:val="-5"/>
          <w:kern w:val="0"/>
          <w:sz w:val="28"/>
          <w:szCs w:val="28"/>
          <w14:ligatures w14:val="none"/>
        </w:rPr>
        <w:t>2. </w:t>
      </w:r>
      <w:r w:rsidRPr="00FD43FE">
        <w:rPr>
          <w:rFonts w:ascii="Palatino" w:eastAsia="Times New Roman" w:hAnsi="Palatino" w:cs="Times New Roman"/>
          <w:b/>
          <w:bCs/>
          <w:color w:val="1D2228"/>
          <w:spacing w:val="-5"/>
          <w:kern w:val="0"/>
          <w:sz w:val="28"/>
          <w:szCs w:val="28"/>
          <w:u w:val="single"/>
          <w14:ligatures w14:val="none"/>
        </w:rPr>
        <w:t>2026 Medicare Handbook</w:t>
      </w:r>
      <w:r w:rsidRPr="00FD43FE">
        <w:rPr>
          <w:rFonts w:ascii="Palatino" w:eastAsia="Times New Roman" w:hAnsi="Palatino" w:cs="Times New Roman"/>
          <w:b/>
          <w:bCs/>
          <w:color w:val="1D2228"/>
          <w:spacing w:val="-5"/>
          <w:kern w:val="0"/>
          <w:sz w:val="28"/>
          <w:szCs w:val="28"/>
          <w14:ligatures w14:val="none"/>
        </w:rPr>
        <w:t> –</w:t>
      </w:r>
      <w:r w:rsidRPr="00FD43FE">
        <w:rPr>
          <w:rFonts w:ascii="Palatino" w:eastAsia="Times New Roman" w:hAnsi="Palatino" w:cs="Times New Roman"/>
          <w:color w:val="1D2228"/>
          <w:spacing w:val="-5"/>
          <w:kern w:val="0"/>
          <w:sz w:val="28"/>
          <w:szCs w:val="28"/>
          <w14:ligatures w14:val="none"/>
        </w:rPr>
        <w:t>The 2026 Medicare is now available for your use. It contains valuable information about Medicare’s benefits and costs. You can obtain either a hard copy or an electronic one. The advantage of the electronic copy is that the information is most up to date. </w:t>
      </w:r>
    </w:p>
    <w:p w14:paraId="0DB36FEA" w14:textId="0F2AF55C" w:rsidR="00FD43FE" w:rsidRPr="00FD43FE" w:rsidRDefault="00FD43FE" w:rsidP="00FD43FE">
      <w:pPr>
        <w:shd w:val="clear" w:color="auto" w:fill="FFFFFF"/>
        <w:spacing w:before="100" w:beforeAutospacing="1" w:after="100" w:afterAutospacing="1" w:line="240" w:lineRule="auto"/>
        <w:ind w:left="27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D2228"/>
          <w:spacing w:val="-5"/>
          <w:kern w:val="0"/>
          <w:sz w:val="28"/>
          <w:szCs w:val="28"/>
          <w14:ligatures w14:val="none"/>
        </w:rPr>
        <w:t>If you want to order a hard copy, you need to have a Medicare account. If you don’t have an account, go to </w:t>
      </w:r>
      <w:hyperlink r:id="rId4" w:tgtFrame="_blank" w:history="1">
        <w:r w:rsidRPr="00FD43FE">
          <w:rPr>
            <w:rFonts w:ascii="Palatino" w:eastAsia="Times New Roman" w:hAnsi="Palatino" w:cs="Times New Roman"/>
            <w:color w:val="196AD4"/>
            <w:spacing w:val="-5"/>
            <w:kern w:val="0"/>
            <w:sz w:val="28"/>
            <w:szCs w:val="28"/>
            <w:u w:val="single"/>
            <w14:ligatures w14:val="none"/>
          </w:rPr>
          <w:t>www.Medicare.gov</w:t>
        </w:r>
      </w:hyperlink>
      <w:r w:rsidRPr="00FD43FE">
        <w:rPr>
          <w:rFonts w:ascii="Palatino" w:eastAsia="Times New Roman" w:hAnsi="Palatino" w:cs="Times New Roman"/>
          <w:color w:val="0070C0"/>
          <w:spacing w:val="-5"/>
          <w:kern w:val="0"/>
          <w:sz w:val="28"/>
          <w:szCs w:val="28"/>
          <w14:ligatures w14:val="none"/>
        </w:rPr>
        <w:t> </w:t>
      </w:r>
      <w:r w:rsidRPr="00FD43FE">
        <w:rPr>
          <w:rFonts w:ascii="Palatino" w:eastAsia="Times New Roman" w:hAnsi="Palatino" w:cs="Times New Roman"/>
          <w:color w:val="1D2228"/>
          <w:spacing w:val="-5"/>
          <w:kern w:val="0"/>
          <w:sz w:val="28"/>
          <w:szCs w:val="28"/>
          <w14:ligatures w14:val="none"/>
        </w:rPr>
        <w:t xml:space="preserve">and follow the prompts. Once you have an account, login and click on the link, </w:t>
      </w:r>
      <w:proofErr w:type="gramStart"/>
      <w:r w:rsidRPr="00FD43FE">
        <w:rPr>
          <w:rFonts w:ascii="Palatino" w:eastAsia="Times New Roman" w:hAnsi="Palatino" w:cs="Times New Roman"/>
          <w:color w:val="1D2228"/>
          <w:spacing w:val="-5"/>
          <w:kern w:val="0"/>
          <w:sz w:val="28"/>
          <w:szCs w:val="28"/>
          <w14:ligatures w14:val="none"/>
        </w:rPr>
        <w:t>Get</w:t>
      </w:r>
      <w:proofErr w:type="gramEnd"/>
      <w:r w:rsidRPr="00FD43FE">
        <w:rPr>
          <w:rFonts w:ascii="Palatino" w:eastAsia="Times New Roman" w:hAnsi="Palatino" w:cs="Times New Roman"/>
          <w:color w:val="1D2228"/>
          <w:spacing w:val="-5"/>
          <w:kern w:val="0"/>
          <w:sz w:val="28"/>
          <w:szCs w:val="28"/>
          <w14:ligatures w14:val="none"/>
        </w:rPr>
        <w:t xml:space="preserve"> my Medicare Summary Notices electronically. You will then see a box labeled, “Medicare &amp; You” handbook. Click on the link, “paper” in the box and Medicare will eventually mail you the handbook. </w:t>
      </w:r>
      <w:r w:rsidRPr="00FD43FE">
        <w:rPr>
          <w:rFonts w:ascii="Palatino" w:eastAsia="Times New Roman" w:hAnsi="Palatino" w:cs="Times New Roman"/>
          <w:b/>
          <w:bCs/>
          <w:color w:val="1D2228"/>
          <w:spacing w:val="-5"/>
          <w:kern w:val="0"/>
          <w:sz w:val="28"/>
          <w:szCs w:val="28"/>
          <w14:ligatures w14:val="none"/>
        </w:rPr>
        <w:t> </w:t>
      </w:r>
    </w:p>
    <w:p w14:paraId="1D446EC8" w14:textId="7E138E27" w:rsidR="00FD43FE" w:rsidRPr="00FD43FE" w:rsidRDefault="00FD43FE" w:rsidP="00FD43FE">
      <w:pPr>
        <w:shd w:val="clear" w:color="auto" w:fill="FFFFFF"/>
        <w:spacing w:before="100" w:beforeAutospacing="1" w:after="100" w:afterAutospacing="1"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b/>
          <w:bCs/>
          <w:color w:val="1D2228"/>
          <w:spacing w:val="-5"/>
          <w:kern w:val="0"/>
          <w:sz w:val="28"/>
          <w:szCs w:val="28"/>
          <w14:ligatures w14:val="none"/>
        </w:rPr>
        <w:t>3.</w:t>
      </w:r>
      <w:r w:rsidRPr="00FD43FE">
        <w:rPr>
          <w:rFonts w:ascii="Palatino" w:eastAsia="Times New Roman" w:hAnsi="Palatino" w:cs="Times New Roman"/>
          <w:color w:val="1D2228"/>
          <w:spacing w:val="-5"/>
          <w:kern w:val="0"/>
          <w:sz w:val="28"/>
          <w:szCs w:val="28"/>
          <w14:ligatures w14:val="none"/>
        </w:rPr>
        <w:t> </w:t>
      </w:r>
      <w:r w:rsidRPr="00FD43FE">
        <w:rPr>
          <w:rFonts w:ascii="Palatino" w:eastAsia="Times New Roman" w:hAnsi="Palatino" w:cs="Times New Roman"/>
          <w:b/>
          <w:bCs/>
          <w:color w:val="1D2228"/>
          <w:spacing w:val="-5"/>
          <w:kern w:val="0"/>
          <w:sz w:val="28"/>
          <w:szCs w:val="28"/>
          <w:u w:val="single"/>
          <w14:ligatures w14:val="none"/>
        </w:rPr>
        <w:t>Question of the Month</w:t>
      </w:r>
      <w:r w:rsidRPr="00FD43FE">
        <w:rPr>
          <w:rFonts w:ascii="Palatino" w:eastAsia="Times New Roman" w:hAnsi="Palatino" w:cs="Times New Roman"/>
          <w:b/>
          <w:bCs/>
          <w:color w:val="1D2228"/>
          <w:spacing w:val="-5"/>
          <w:kern w:val="0"/>
          <w:sz w:val="28"/>
          <w:szCs w:val="28"/>
          <w14:ligatures w14:val="none"/>
        </w:rPr>
        <w:t> </w:t>
      </w:r>
    </w:p>
    <w:p w14:paraId="655AC246" w14:textId="77777777" w:rsidR="00FD43FE" w:rsidRPr="00FD43FE" w:rsidRDefault="00FD43FE" w:rsidP="00FD43FE">
      <w:pPr>
        <w:spacing w:before="100" w:beforeAutospacing="1" w:after="100" w:afterAutospacing="1" w:line="240" w:lineRule="auto"/>
        <w:ind w:left="36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b/>
          <w:bCs/>
          <w:color w:val="1D2228"/>
          <w:spacing w:val="-5"/>
          <w:kern w:val="0"/>
          <w:sz w:val="28"/>
          <w:szCs w:val="28"/>
          <w14:ligatures w14:val="none"/>
        </w:rPr>
        <w:t>Q. </w:t>
      </w:r>
      <w:r w:rsidRPr="00FD43FE">
        <w:rPr>
          <w:rFonts w:ascii="Palatino" w:eastAsia="Times New Roman" w:hAnsi="Palatino" w:cs="Times New Roman"/>
          <w:color w:val="1D2228"/>
          <w:spacing w:val="-5"/>
          <w:kern w:val="0"/>
          <w:sz w:val="28"/>
          <w:szCs w:val="28"/>
          <w14:ligatures w14:val="none"/>
        </w:rPr>
        <w:t>I am eligible for 2024 IRMAA but have not yet applied. Am I too late to do so?</w:t>
      </w:r>
    </w:p>
    <w:p w14:paraId="410E66AA" w14:textId="1D5EF6D0" w:rsidR="00FD43FE" w:rsidRPr="00FD43FE" w:rsidRDefault="00FD43FE" w:rsidP="00FD43FE">
      <w:pPr>
        <w:spacing w:before="100" w:beforeAutospacing="1" w:after="100" w:afterAutospacing="1" w:line="240" w:lineRule="auto"/>
        <w:ind w:left="270"/>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b/>
          <w:bCs/>
          <w:color w:val="1D2228"/>
          <w:spacing w:val="-5"/>
          <w:kern w:val="0"/>
          <w:sz w:val="28"/>
          <w:szCs w:val="28"/>
          <w14:ligatures w14:val="none"/>
        </w:rPr>
        <w:t> A. </w:t>
      </w:r>
      <w:r w:rsidRPr="00FD43FE">
        <w:rPr>
          <w:rFonts w:ascii="Palatino" w:eastAsia="Times New Roman" w:hAnsi="Palatino" w:cs="Times New Roman"/>
          <w:color w:val="1D2228"/>
          <w:spacing w:val="-5"/>
          <w:kern w:val="0"/>
          <w:sz w:val="28"/>
          <w:szCs w:val="28"/>
          <w14:ligatures w14:val="none"/>
        </w:rPr>
        <w:t> No, you can still apply. Just make sure to check the 2024 box and sign the application. You can mail the application along with the proper documents to the Office of Labor relations. The address is:</w:t>
      </w:r>
    </w:p>
    <w:p w14:paraId="60855D40" w14:textId="77777777" w:rsidR="00FD43FE" w:rsidRPr="00FD43FE" w:rsidRDefault="00FD43FE" w:rsidP="00FD43FE">
      <w:pPr>
        <w:spacing w:before="100" w:beforeAutospacing="1" w:after="100" w:afterAutospacing="1" w:line="240" w:lineRule="auto"/>
        <w:ind w:left="270"/>
        <w:rPr>
          <w:rFonts w:ascii="Palatino" w:eastAsia="Times New Roman" w:hAnsi="Palatino" w:cs="Times New Roman"/>
          <w:color w:val="1D2228"/>
          <w:spacing w:val="-5"/>
          <w:kern w:val="0"/>
          <w:sz w:val="28"/>
          <w:szCs w:val="28"/>
          <w14:ligatures w14:val="none"/>
        </w:rPr>
      </w:pPr>
      <w:r w:rsidRPr="00FD43FE">
        <w:rPr>
          <w:rFonts w:ascii="Helvetica" w:eastAsia="Times New Roman" w:hAnsi="Helvetica" w:cs="Times New Roman"/>
          <w:color w:val="333333"/>
          <w:spacing w:val="-5"/>
          <w:kern w:val="0"/>
          <w:sz w:val="28"/>
          <w:szCs w:val="28"/>
          <w:shd w:val="clear" w:color="auto" w:fill="FFFFFF"/>
          <w14:ligatures w14:val="none"/>
        </w:rPr>
        <w:t>NYC Office of Labor Relations</w:t>
      </w:r>
      <w:r w:rsidRPr="00FD43FE">
        <w:rPr>
          <w:rFonts w:ascii="Helvetica" w:eastAsia="Times New Roman" w:hAnsi="Helvetica" w:cs="Times New Roman"/>
          <w:color w:val="333333"/>
          <w:spacing w:val="-5"/>
          <w:kern w:val="0"/>
          <w:sz w:val="28"/>
          <w:szCs w:val="28"/>
          <w14:ligatures w14:val="none"/>
        </w:rPr>
        <w:br/>
      </w:r>
      <w:r w:rsidRPr="00FD43FE">
        <w:rPr>
          <w:rFonts w:ascii="Helvetica" w:eastAsia="Times New Roman" w:hAnsi="Helvetica" w:cs="Times New Roman"/>
          <w:color w:val="333333"/>
          <w:spacing w:val="-5"/>
          <w:kern w:val="0"/>
          <w:sz w:val="28"/>
          <w:szCs w:val="28"/>
          <w:shd w:val="clear" w:color="auto" w:fill="FFFFFF"/>
          <w14:ligatures w14:val="none"/>
        </w:rPr>
        <w:t>Health Benefits Program</w:t>
      </w:r>
      <w:r w:rsidRPr="00FD43FE">
        <w:rPr>
          <w:rFonts w:ascii="Helvetica" w:eastAsia="Times New Roman" w:hAnsi="Helvetica" w:cs="Times New Roman"/>
          <w:color w:val="333333"/>
          <w:spacing w:val="-5"/>
          <w:kern w:val="0"/>
          <w:sz w:val="28"/>
          <w:szCs w:val="28"/>
          <w14:ligatures w14:val="none"/>
        </w:rPr>
        <w:br/>
      </w:r>
      <w:r w:rsidRPr="00FD43FE">
        <w:rPr>
          <w:rFonts w:ascii="Helvetica" w:eastAsia="Times New Roman" w:hAnsi="Helvetica" w:cs="Times New Roman"/>
          <w:color w:val="333333"/>
          <w:spacing w:val="-5"/>
          <w:kern w:val="0"/>
          <w:sz w:val="28"/>
          <w:szCs w:val="28"/>
          <w:shd w:val="clear" w:color="auto" w:fill="FFFFFF"/>
          <w14:ligatures w14:val="none"/>
        </w:rPr>
        <w:t>22 Cortlandt Street, 12th Floor</w:t>
      </w:r>
      <w:r w:rsidRPr="00FD43FE">
        <w:rPr>
          <w:rFonts w:ascii="Helvetica" w:eastAsia="Times New Roman" w:hAnsi="Helvetica" w:cs="Times New Roman"/>
          <w:color w:val="333333"/>
          <w:spacing w:val="-5"/>
          <w:kern w:val="0"/>
          <w:sz w:val="28"/>
          <w:szCs w:val="28"/>
          <w14:ligatures w14:val="none"/>
        </w:rPr>
        <w:br/>
      </w:r>
      <w:r w:rsidRPr="00FD43FE">
        <w:rPr>
          <w:rFonts w:ascii="Helvetica" w:eastAsia="Times New Roman" w:hAnsi="Helvetica" w:cs="Times New Roman"/>
          <w:color w:val="333333"/>
          <w:spacing w:val="-5"/>
          <w:kern w:val="0"/>
          <w:sz w:val="28"/>
          <w:szCs w:val="28"/>
          <w:shd w:val="clear" w:color="auto" w:fill="FFFFFF"/>
          <w14:ligatures w14:val="none"/>
        </w:rPr>
        <w:t>New York, NY 10007</w:t>
      </w:r>
    </w:p>
    <w:p w14:paraId="775743C0" w14:textId="77777777" w:rsidR="00FD43FE" w:rsidRPr="00FD43FE" w:rsidRDefault="00FD43FE" w:rsidP="00FD43FE">
      <w:pPr>
        <w:spacing w:after="0"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D2228"/>
          <w:spacing w:val="-5"/>
          <w:kern w:val="0"/>
          <w:sz w:val="28"/>
          <w:szCs w:val="28"/>
          <w14:ligatures w14:val="none"/>
        </w:rPr>
        <w:t> </w:t>
      </w:r>
    </w:p>
    <w:p w14:paraId="69CF2558" w14:textId="77777777" w:rsidR="00FD43FE" w:rsidRPr="00FD43FE" w:rsidRDefault="00FD43FE" w:rsidP="00FD43FE">
      <w:pPr>
        <w:spacing w:before="100" w:beforeAutospacing="1" w:after="100" w:afterAutospacing="1" w:line="240" w:lineRule="auto"/>
        <w:ind w:left="270"/>
        <w:rPr>
          <w:rFonts w:ascii="Palatino" w:eastAsia="Times New Roman" w:hAnsi="Palatino" w:cs="Times New Roman"/>
          <w:color w:val="1D2228"/>
          <w:spacing w:val="-5"/>
          <w:kern w:val="0"/>
          <w:sz w:val="28"/>
          <w:szCs w:val="28"/>
          <w14:ligatures w14:val="none"/>
        </w:rPr>
      </w:pPr>
      <w:r w:rsidRPr="00FD43FE">
        <w:rPr>
          <w:rFonts w:ascii="Times New Roman" w:eastAsia="Times New Roman" w:hAnsi="Times New Roman" w:cs="Times New Roman"/>
          <w:color w:val="333333"/>
          <w:spacing w:val="-5"/>
          <w:kern w:val="0"/>
          <w:sz w:val="28"/>
          <w:szCs w:val="28"/>
          <w:shd w:val="clear" w:color="auto" w:fill="FFFFFF"/>
          <w14:ligatures w14:val="none"/>
        </w:rPr>
        <w:t>You can also submit the application electronically. Instructions on how to do it on OLR’s website, </w:t>
      </w:r>
      <w:hyperlink r:id="rId5" w:tgtFrame="_blank" w:history="1">
        <w:r w:rsidRPr="00FD43FE">
          <w:rPr>
            <w:rFonts w:ascii="Times New Roman" w:eastAsia="Times New Roman" w:hAnsi="Times New Roman" w:cs="Times New Roman"/>
            <w:color w:val="196AD4"/>
            <w:spacing w:val="-5"/>
            <w:kern w:val="0"/>
            <w:sz w:val="28"/>
            <w:szCs w:val="28"/>
            <w:u w:val="single"/>
            <w:shd w:val="clear" w:color="auto" w:fill="FFFFFF"/>
            <w14:ligatures w14:val="none"/>
          </w:rPr>
          <w:t>https://www.nyc.gov/olr</w:t>
        </w:r>
      </w:hyperlink>
      <w:r w:rsidRPr="00FD43FE">
        <w:rPr>
          <w:rFonts w:ascii="Times New Roman" w:eastAsia="Times New Roman" w:hAnsi="Times New Roman" w:cs="Times New Roman"/>
          <w:color w:val="333333"/>
          <w:spacing w:val="-5"/>
          <w:kern w:val="0"/>
          <w:sz w:val="28"/>
          <w:szCs w:val="28"/>
          <w:shd w:val="clear" w:color="auto" w:fill="FFFFFF"/>
          <w14:ligatures w14:val="none"/>
        </w:rPr>
        <w:t>.</w:t>
      </w:r>
    </w:p>
    <w:p w14:paraId="40D0E713" w14:textId="5F2F3CF6" w:rsidR="00E84344" w:rsidRPr="00FD43FE" w:rsidRDefault="00FD43FE" w:rsidP="00FD43FE">
      <w:pPr>
        <w:spacing w:after="0" w:line="240" w:lineRule="auto"/>
        <w:rPr>
          <w:rFonts w:ascii="Palatino" w:eastAsia="Times New Roman" w:hAnsi="Palatino" w:cs="Times New Roman"/>
          <w:color w:val="1D2228"/>
          <w:spacing w:val="-5"/>
          <w:kern w:val="0"/>
          <w:sz w:val="28"/>
          <w:szCs w:val="28"/>
          <w14:ligatures w14:val="none"/>
        </w:rPr>
      </w:pPr>
      <w:r w:rsidRPr="00FD43FE">
        <w:rPr>
          <w:rFonts w:ascii="Palatino" w:eastAsia="Times New Roman" w:hAnsi="Palatino" w:cs="Times New Roman"/>
          <w:color w:val="1D2228"/>
          <w:spacing w:val="-5"/>
          <w:kern w:val="0"/>
          <w:sz w:val="28"/>
          <w:szCs w:val="28"/>
          <w14:ligatures w14:val="none"/>
        </w:rPr>
        <w:t> </w:t>
      </w:r>
    </w:p>
    <w:sectPr w:rsidR="00E84344" w:rsidRPr="00FD4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FE"/>
    <w:rsid w:val="003449BC"/>
    <w:rsid w:val="005B53B2"/>
    <w:rsid w:val="00967C5C"/>
    <w:rsid w:val="00B8163D"/>
    <w:rsid w:val="00DE3849"/>
    <w:rsid w:val="00E84344"/>
    <w:rsid w:val="00FD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5C8BA5"/>
  <w15:chartTrackingRefBased/>
  <w15:docId w15:val="{B5F7C18C-D8BB-BD4F-90F9-3F3D62AB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3FE"/>
    <w:rPr>
      <w:rFonts w:eastAsiaTheme="majorEastAsia" w:cstheme="majorBidi"/>
      <w:color w:val="272727" w:themeColor="text1" w:themeTint="D8"/>
    </w:rPr>
  </w:style>
  <w:style w:type="paragraph" w:styleId="Title">
    <w:name w:val="Title"/>
    <w:basedOn w:val="Normal"/>
    <w:next w:val="Normal"/>
    <w:link w:val="TitleChar"/>
    <w:uiPriority w:val="10"/>
    <w:qFormat/>
    <w:rsid w:val="00FD4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3FE"/>
    <w:pPr>
      <w:spacing w:before="160"/>
      <w:jc w:val="center"/>
    </w:pPr>
    <w:rPr>
      <w:i/>
      <w:iCs/>
      <w:color w:val="404040" w:themeColor="text1" w:themeTint="BF"/>
    </w:rPr>
  </w:style>
  <w:style w:type="character" w:customStyle="1" w:styleId="QuoteChar">
    <w:name w:val="Quote Char"/>
    <w:basedOn w:val="DefaultParagraphFont"/>
    <w:link w:val="Quote"/>
    <w:uiPriority w:val="29"/>
    <w:rsid w:val="00FD43FE"/>
    <w:rPr>
      <w:i/>
      <w:iCs/>
      <w:color w:val="404040" w:themeColor="text1" w:themeTint="BF"/>
    </w:rPr>
  </w:style>
  <w:style w:type="paragraph" w:styleId="ListParagraph">
    <w:name w:val="List Paragraph"/>
    <w:basedOn w:val="Normal"/>
    <w:uiPriority w:val="34"/>
    <w:qFormat/>
    <w:rsid w:val="00FD43FE"/>
    <w:pPr>
      <w:ind w:left="720"/>
      <w:contextualSpacing/>
    </w:pPr>
  </w:style>
  <w:style w:type="character" w:styleId="IntenseEmphasis">
    <w:name w:val="Intense Emphasis"/>
    <w:basedOn w:val="DefaultParagraphFont"/>
    <w:uiPriority w:val="21"/>
    <w:qFormat/>
    <w:rsid w:val="00FD43FE"/>
    <w:rPr>
      <w:i/>
      <w:iCs/>
      <w:color w:val="0F4761" w:themeColor="accent1" w:themeShade="BF"/>
    </w:rPr>
  </w:style>
  <w:style w:type="paragraph" w:styleId="IntenseQuote">
    <w:name w:val="Intense Quote"/>
    <w:basedOn w:val="Normal"/>
    <w:next w:val="Normal"/>
    <w:link w:val="IntenseQuoteChar"/>
    <w:uiPriority w:val="30"/>
    <w:qFormat/>
    <w:rsid w:val="00FD4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3FE"/>
    <w:rPr>
      <w:i/>
      <w:iCs/>
      <w:color w:val="0F4761" w:themeColor="accent1" w:themeShade="BF"/>
    </w:rPr>
  </w:style>
  <w:style w:type="character" w:styleId="IntenseReference">
    <w:name w:val="Intense Reference"/>
    <w:basedOn w:val="DefaultParagraphFont"/>
    <w:uiPriority w:val="32"/>
    <w:qFormat/>
    <w:rsid w:val="00FD43FE"/>
    <w:rPr>
      <w:b/>
      <w:bCs/>
      <w:smallCaps/>
      <w:color w:val="0F4761" w:themeColor="accent1" w:themeShade="BF"/>
      <w:spacing w:val="5"/>
    </w:rPr>
  </w:style>
  <w:style w:type="paragraph" w:customStyle="1" w:styleId="yiv4887097345msonormal">
    <w:name w:val="yiv4887097345msonormal"/>
    <w:basedOn w:val="Normal"/>
    <w:rsid w:val="00FD43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43FE"/>
    <w:rPr>
      <w:b/>
      <w:bCs/>
    </w:rPr>
  </w:style>
  <w:style w:type="character" w:customStyle="1" w:styleId="yiv4887097345">
    <w:name w:val="yiv4887097345"/>
    <w:basedOn w:val="DefaultParagraphFont"/>
    <w:rsid w:val="00FD43FE"/>
  </w:style>
  <w:style w:type="character" w:customStyle="1" w:styleId="apple-converted-space">
    <w:name w:val="apple-converted-space"/>
    <w:basedOn w:val="DefaultParagraphFont"/>
    <w:rsid w:val="00FD43FE"/>
  </w:style>
  <w:style w:type="paragraph" w:customStyle="1" w:styleId="yiv4887097345msolistparagraph">
    <w:name w:val="yiv4887097345msolistparagraph"/>
    <w:basedOn w:val="Normal"/>
    <w:rsid w:val="00FD43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D4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yc.gov/olr" TargetMode="External"/><Relationship Id="rId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Adams</dc:creator>
  <cp:keywords/>
  <dc:description/>
  <cp:lastModifiedBy>Kim Adams</cp:lastModifiedBy>
  <cp:revision>2</cp:revision>
  <dcterms:created xsi:type="dcterms:W3CDTF">2025-10-06T18:16:00Z</dcterms:created>
  <dcterms:modified xsi:type="dcterms:W3CDTF">2025-10-06T18:16:00Z</dcterms:modified>
</cp:coreProperties>
</file>